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r w:rsidR="00B47453">
        <w:rPr>
          <w:rFonts w:ascii="ＭＳ ゴシック" w:eastAsia="ＭＳ ゴシック" w:hAnsi="ＭＳ ゴシック" w:hint="eastAsia"/>
          <w:color w:val="000000"/>
          <w:kern w:val="0"/>
        </w:rPr>
        <w:t>（指定業者の売上高の減少が全体の売上高に相当程度影響する場合）</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D6B">
              <w:rPr>
                <w:rFonts w:ascii="ＭＳ ゴシック" w:eastAsia="ＭＳ ゴシック" w:hAnsi="ＭＳ ゴシック" w:hint="eastAsia"/>
                <w:color w:val="000000"/>
                <w:kern w:val="0"/>
              </w:rPr>
              <w:t>用保険法第２条第５項第５号の規定による認定申請書（イ－⑮）</w:t>
            </w:r>
          </w:p>
          <w:p w:rsidR="00EC0D6B" w:rsidRPr="004A4F6E" w:rsidRDefault="00A179F0" w:rsidP="00EC0D6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0D6B" w:rsidRPr="004A4F6E">
              <w:rPr>
                <w:rFonts w:ascii="ＭＳ ゴシック" w:eastAsia="ＭＳ ゴシック" w:hAnsi="ＭＳ ゴシック" w:hint="eastAsia"/>
                <w:color w:val="000000"/>
                <w:kern w:val="0"/>
              </w:rPr>
              <w:t>令和　　年　　月　　日</w:t>
            </w:r>
          </w:p>
          <w:p w:rsidR="00EC0D6B" w:rsidRPr="00571F1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EC0D6B" w:rsidRPr="00571F1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EC0D6B" w:rsidRPr="00571F1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EC0D6B" w:rsidRDefault="00EC0D6B" w:rsidP="00EC0D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Default="00EC0D6B" w:rsidP="00EC0D6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C0D6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EC0D6B">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3BEF073A" wp14:editId="5BF509D8">
                      <wp:simplePos x="0" y="0"/>
                      <wp:positionH relativeFrom="column">
                        <wp:posOffset>1951355</wp:posOffset>
                      </wp:positionH>
                      <wp:positionV relativeFrom="paragraph">
                        <wp:posOffset>26670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073A" id="_x0000_t202" coordsize="21600,21600" o:spt="202" path="m,l,21600r21600,l21600,xe">
                      <v:stroke joinstyle="miter"/>
                      <v:path gradientshapeok="t" o:connecttype="rect"/>
                    </v:shapetype>
                    <v:shape id="テキスト ボックス 2" o:spid="_x0000_s1026" type="#_x0000_t202" style="position:absolute;margin-left:153.65pt;margin-top:2.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Cv1AIAAMc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" filled="f" stroked="f">
                      <v:textbox inset="5.85pt,.7pt,5.85pt,.7pt">
                        <w:txbxContent>
                          <w:p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Ｂ／３）－Ａ</w:t>
            </w:r>
            <w:r w:rsidR="00A179F0">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sidR="00EC0D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3BEF073A" wp14:editId="5BF509D8">
                      <wp:simplePos x="0" y="0"/>
                      <wp:positionH relativeFrom="column">
                        <wp:posOffset>1608455</wp:posOffset>
                      </wp:positionH>
                      <wp:positionV relativeFrom="paragraph">
                        <wp:posOffset>26670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073A" id="テキスト ボックス 1" o:spid="_x0000_s1027" type="#_x0000_t202" style="position:absolute;margin-left:126.65pt;margin-top:2.1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X6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" filled="f" stroked="f">
                      <v:textbox inset="5.85pt,.7pt,5.85pt,.7pt">
                        <w:txbxContent>
                          <w:p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 xml:space="preserve">　　　Ｂ　－（Ａ＋Ｄ）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3360" behindDoc="0" locked="0" layoutInCell="1" allowOverlap="1" wp14:anchorId="3BEF073A" wp14:editId="5BF509D8">
                      <wp:simplePos x="0" y="0"/>
                      <wp:positionH relativeFrom="column">
                        <wp:posOffset>1351280</wp:posOffset>
                      </wp:positionH>
                      <wp:positionV relativeFrom="paragraph">
                        <wp:posOffset>45720</wp:posOffset>
                      </wp:positionV>
                      <wp:extent cx="813435"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073A" id="テキスト ボックス 3" o:spid="_x0000_s1028" type="#_x0000_t202" style="position:absolute;margin-left:106.4pt;margin-top:3.6pt;width:64.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n2AIAAM4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" filled="f" stroked="f">
                      <v:textbox inset="5.85pt,.7pt,5.85pt,.7pt">
                        <w:txbxContent>
                          <w:p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Ｃ／３－Ｅ</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EC0D6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5408" behindDoc="0" locked="0" layoutInCell="1" allowOverlap="1" wp14:anchorId="3BEF073A" wp14:editId="5BF509D8">
                      <wp:simplePos x="0" y="0"/>
                      <wp:positionH relativeFrom="column">
                        <wp:posOffset>1475105</wp:posOffset>
                      </wp:positionH>
                      <wp:positionV relativeFrom="paragraph">
                        <wp:posOffset>42545</wp:posOffset>
                      </wp:positionV>
                      <wp:extent cx="813435" cy="200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D6B" w:rsidRPr="00AD26ED" w:rsidRDefault="00EC0D6B" w:rsidP="00EC0D6B">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073A" id="テキスト ボックス 4" o:spid="_x0000_s1029" type="#_x0000_t202" style="position:absolute;margin-left:116.15pt;margin-top:3.35pt;width:64.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bV2AIAAM4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" filled="f" stroked="f">
                      <v:textbox inset="5.85pt,.7pt,5.85pt,.7pt">
                        <w:txbxContent>
                          <w:p w:rsidR="00EC0D6B" w:rsidRPr="00AD26ED" w:rsidRDefault="00EC0D6B" w:rsidP="00EC0D6B">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color="000000"/>
              </w:rPr>
              <w:t>Ｃ－（Ｅ＋Ｆ）</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EC0D6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（注２）「販売数量の減少」又は「売上高の減少」等を記入す</w:t>
      </w:r>
      <w:r w:rsidR="00A179F0">
        <w:rPr>
          <w:rFonts w:ascii="ＭＳ ゴシック" w:eastAsia="ＭＳ ゴシック" w:hAnsi="ＭＳ ゴシック" w:hint="eastAsia"/>
          <w:color w:val="000000"/>
          <w:kern w:val="0"/>
        </w:rPr>
        <w:t>る。</w:t>
      </w:r>
    </w:p>
    <w:p w:rsidR="00EC0D6B" w:rsidRPr="00571F1B" w:rsidRDefault="00EC0D6B" w:rsidP="00EC0D6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EC0D6B" w:rsidRPr="00571F1B" w:rsidRDefault="00EC0D6B" w:rsidP="00EC0D6B">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EC0D6B" w:rsidRPr="00571F1B" w:rsidRDefault="00EC0D6B" w:rsidP="00EC0D6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EC0D6B" w:rsidRPr="00571F1B" w:rsidRDefault="00EC0D6B" w:rsidP="00EC0D6B">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49312"/>
        </w:rPr>
        <w:t xml:space="preserve">観商第　　　</w:t>
      </w:r>
      <w:r w:rsidRPr="00571F1B">
        <w:rPr>
          <w:rFonts w:asciiTheme="majorEastAsia" w:eastAsiaTheme="majorEastAsia" w:hAnsiTheme="majorEastAsia" w:cs="ＭＳ ゴシック" w:hint="eastAsia"/>
          <w:color w:val="000000"/>
          <w:kern w:val="0"/>
          <w:szCs w:val="21"/>
          <w:fitText w:val="1890" w:id="-2069549312"/>
        </w:rPr>
        <w:t>号</w:t>
      </w:r>
    </w:p>
    <w:p w:rsidR="00EC0D6B" w:rsidRPr="00571F1B" w:rsidRDefault="00EC0D6B" w:rsidP="00EC0D6B">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EC0D6B" w:rsidRPr="00571F1B" w:rsidRDefault="00EC0D6B" w:rsidP="00EC0D6B">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EC0D6B" w:rsidRPr="00571F1B" w:rsidRDefault="00EC0D6B" w:rsidP="00EC0D6B">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EC0D6B" w:rsidRPr="00571F1B" w:rsidRDefault="00EC0D6B" w:rsidP="00EC0D6B">
      <w:pPr>
        <w:ind w:right="840"/>
        <w:jc w:val="right"/>
        <w:rPr>
          <w:rFonts w:asciiTheme="majorEastAsia" w:eastAsiaTheme="majorEastAsia" w:hAnsiTheme="majorEastAsia"/>
        </w:rPr>
      </w:pPr>
    </w:p>
    <w:p w:rsidR="00AC4284" w:rsidRDefault="00FB4660" w:rsidP="00FB4660">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B53D65">
        <w:rPr>
          <w:rFonts w:asciiTheme="majorEastAsia" w:eastAsiaTheme="majorEastAsia" w:hAnsiTheme="majorEastAsia" w:hint="eastAsia"/>
        </w:rPr>
        <w:t xml:space="preserve"> </w:t>
      </w:r>
      <w:r w:rsidR="00B53D65">
        <w:rPr>
          <w:rFonts w:asciiTheme="majorEastAsia" w:eastAsiaTheme="majorEastAsia" w:hAnsiTheme="majorEastAsia"/>
        </w:rPr>
        <w:t xml:space="preserve">              </w:t>
      </w:r>
    </w:p>
    <w:p w:rsidR="00AC4284" w:rsidRPr="00AC4284" w:rsidRDefault="00AC4284" w:rsidP="00AC4284">
      <w:pPr>
        <w:jc w:val="center"/>
        <w:rPr>
          <w:rFonts w:ascii="ＭＳ Ｐゴシック" w:eastAsia="ＭＳ Ｐゴシック" w:hAnsi="ＭＳ Ｐゴシック"/>
          <w:sz w:val="32"/>
        </w:rPr>
      </w:pPr>
      <w:r w:rsidRPr="00AC4284">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⑮</w:t>
      </w:r>
      <w:r w:rsidRPr="00AC4284">
        <w:rPr>
          <w:rFonts w:ascii="ＭＳ Ｐゴシック" w:eastAsia="ＭＳ Ｐゴシック" w:hAnsi="ＭＳ Ｐゴシック" w:hint="eastAsia"/>
          <w:sz w:val="32"/>
        </w:rPr>
        <w:t>）</w:t>
      </w:r>
    </w:p>
    <w:p w:rsidR="00AC4284" w:rsidRPr="00AC4284" w:rsidRDefault="00AC4284" w:rsidP="00AC4284">
      <w:pPr>
        <w:widowControl/>
        <w:rPr>
          <w:rFonts w:ascii="ＭＳ ゴシック" w:eastAsia="ＭＳ ゴシック" w:hAnsi="ＭＳ ゴシック" w:cs="ＭＳ Ｐゴシック"/>
          <w:b/>
          <w:bCs/>
          <w:kern w:val="0"/>
          <w:sz w:val="24"/>
          <w:szCs w:val="24"/>
        </w:rPr>
      </w:pPr>
    </w:p>
    <w:p w:rsidR="00AC4284" w:rsidRPr="00AC4284" w:rsidRDefault="00E70266" w:rsidP="00AC4284">
      <w:pPr>
        <w:suppressAutoHyphens/>
        <w:wordWrap w:val="0"/>
        <w:spacing w:line="240" w:lineRule="exact"/>
        <w:ind w:leftChars="100" w:left="210"/>
        <w:jc w:val="left"/>
        <w:textAlignment w:val="baseline"/>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　本様式は、</w:t>
      </w:r>
      <w:bookmarkStart w:id="0" w:name="_GoBack"/>
      <w:bookmarkEnd w:id="0"/>
      <w:r w:rsidR="00AC4284" w:rsidRPr="00AC4284">
        <w:rPr>
          <w:rFonts w:ascii="ＭＳ Ｐゴシック" w:eastAsia="ＭＳ Ｐゴシック" w:hAnsi="ＭＳ Ｐゴシック" w:hint="eastAsia"/>
          <w:sz w:val="20"/>
        </w:rPr>
        <w:t>指定業種の売上高の減少が全体の売上高に相当程度影響する場合</w:t>
      </w:r>
    </w:p>
    <w:p w:rsidR="00AC4284" w:rsidRPr="00AC4284" w:rsidRDefault="00AC4284" w:rsidP="00AC4284">
      <w:pPr>
        <w:rPr>
          <w:rFonts w:asciiTheme="majorEastAsia" w:eastAsiaTheme="majorEastAsia" w:hAnsiTheme="majorEastAsia"/>
          <w:b/>
          <w:szCs w:val="21"/>
        </w:rPr>
      </w:pPr>
    </w:p>
    <w:p w:rsidR="00AC4284" w:rsidRPr="00AC4284" w:rsidRDefault="00AC4284" w:rsidP="00AC4284">
      <w:pPr>
        <w:rPr>
          <w:rFonts w:asciiTheme="majorEastAsia" w:eastAsiaTheme="majorEastAsia" w:hAnsiTheme="majorEastAsia"/>
          <w:b/>
          <w:szCs w:val="21"/>
        </w:rPr>
      </w:pPr>
      <w:r w:rsidRPr="00AC4284">
        <w:rPr>
          <w:rFonts w:asciiTheme="majorEastAsia" w:eastAsiaTheme="majorEastAsia" w:hAnsiTheme="majorEastAsia" w:hint="eastAsia"/>
          <w:b/>
          <w:szCs w:val="21"/>
        </w:rPr>
        <w:t>○指定業種に属する事業の売上高の状況</w:t>
      </w:r>
    </w:p>
    <w:p w:rsidR="00AC4284" w:rsidRPr="00AC4284" w:rsidRDefault="00AC4284" w:rsidP="00AC4284">
      <w:pPr>
        <w:jc w:val="right"/>
        <w:rPr>
          <w:rFonts w:asciiTheme="majorEastAsia" w:eastAsiaTheme="majorEastAsia" w:hAnsiTheme="majorEastAsia"/>
          <w:szCs w:val="21"/>
        </w:rPr>
      </w:pPr>
      <w:r w:rsidRPr="00AC4284">
        <w:rPr>
          <w:rFonts w:asciiTheme="majorEastAsia" w:eastAsiaTheme="majorEastAsia" w:hAnsiTheme="majorEastAsia" w:hint="eastAsia"/>
          <w:szCs w:val="21"/>
        </w:rPr>
        <w:t>(単位：円)</w:t>
      </w:r>
    </w:p>
    <w:tbl>
      <w:tblPr>
        <w:tblStyle w:val="11"/>
        <w:tblW w:w="0" w:type="auto"/>
        <w:tblInd w:w="137" w:type="dxa"/>
        <w:tblLook w:val="04A0" w:firstRow="1" w:lastRow="0" w:firstColumn="1" w:lastColumn="0" w:noHBand="0" w:noVBand="1"/>
      </w:tblPr>
      <w:tblGrid>
        <w:gridCol w:w="5664"/>
        <w:gridCol w:w="3254"/>
      </w:tblGrid>
      <w:tr w:rsidR="00AC4284" w:rsidRPr="00AC4284" w:rsidTr="00D63895">
        <w:trPr>
          <w:trHeight w:val="680"/>
        </w:trPr>
        <w:tc>
          <w:tcPr>
            <w:tcW w:w="5664" w:type="dxa"/>
            <w:vAlign w:val="center"/>
          </w:tcPr>
          <w:p w:rsidR="00AC4284" w:rsidRPr="00AC4284" w:rsidRDefault="00AC4284" w:rsidP="00AC4284">
            <w:pPr>
              <w:ind w:left="1050" w:hangingChars="500" w:hanging="1050"/>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Ａ：申込時点における最近１か月間の指定業種に属する</w:t>
            </w:r>
          </w:p>
          <w:p w:rsidR="00AC4284" w:rsidRPr="00AC4284" w:rsidRDefault="00AC4284" w:rsidP="00AC4284">
            <w:pPr>
              <w:ind w:left="1050" w:hangingChars="500" w:hanging="1050"/>
              <w:rPr>
                <w:rFonts w:asciiTheme="majorEastAsia" w:eastAsiaTheme="majorEastAsia" w:hAnsiTheme="majorEastAsia"/>
                <w:sz w:val="21"/>
                <w:szCs w:val="21"/>
              </w:rPr>
            </w:pPr>
            <w:r w:rsidRPr="00AC4284">
              <w:rPr>
                <w:rFonts w:asciiTheme="majorEastAsia" w:eastAsiaTheme="majorEastAsia" w:hAnsiTheme="majorEastAsia"/>
                <w:sz w:val="21"/>
                <w:szCs w:val="21"/>
              </w:rPr>
              <w:t xml:space="preserve">　　</w:t>
            </w:r>
            <w:r w:rsidRPr="00AC4284">
              <w:rPr>
                <w:rFonts w:asciiTheme="majorEastAsia" w:eastAsiaTheme="majorEastAsia" w:hAnsiTheme="majorEastAsia" w:hint="eastAsia"/>
                <w:sz w:val="21"/>
                <w:szCs w:val="21"/>
              </w:rPr>
              <w:t>事業の売上高等(　　　月分)</w:t>
            </w:r>
          </w:p>
        </w:tc>
        <w:tc>
          <w:tcPr>
            <w:tcW w:w="3254" w:type="dxa"/>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 xml:space="preserve">　　　　　　　　　　　　　　　　　　　　　　　　</w:t>
            </w:r>
          </w:p>
          <w:p w:rsidR="00AC4284" w:rsidRPr="00AC4284" w:rsidRDefault="00AC4284" w:rsidP="00AC4284">
            <w:pPr>
              <w:wordWrap w:val="0"/>
              <w:ind w:right="210"/>
              <w:jc w:val="right"/>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 xml:space="preserve">　 </w:t>
            </w:r>
            <w:r w:rsidRPr="00AC4284">
              <w:rPr>
                <w:rFonts w:asciiTheme="majorEastAsia" w:eastAsiaTheme="majorEastAsia" w:hAnsiTheme="majorEastAsia"/>
                <w:sz w:val="21"/>
                <w:szCs w:val="21"/>
              </w:rPr>
              <w:t xml:space="preserve">        </w:t>
            </w:r>
            <w:r w:rsidRPr="00AC4284">
              <w:rPr>
                <w:rFonts w:asciiTheme="majorEastAsia" w:eastAsiaTheme="majorEastAsia" w:hAnsiTheme="majorEastAsia" w:hint="eastAsia"/>
                <w:sz w:val="21"/>
                <w:szCs w:val="21"/>
              </w:rPr>
              <w:t xml:space="preserve">   </w:t>
            </w:r>
          </w:p>
        </w:tc>
      </w:tr>
      <w:tr w:rsidR="00AC4284" w:rsidRPr="00AC4284" w:rsidTr="00D63895">
        <w:trPr>
          <w:trHeight w:val="680"/>
        </w:trPr>
        <w:tc>
          <w:tcPr>
            <w:tcW w:w="5664" w:type="dxa"/>
            <w:vAlign w:val="center"/>
          </w:tcPr>
          <w:p w:rsidR="00AC4284" w:rsidRPr="00AC4284" w:rsidRDefault="00AC4284" w:rsidP="00AC4284">
            <w:pPr>
              <w:ind w:left="420" w:hangingChars="200" w:hanging="420"/>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Ｂ：令和元年</w:t>
            </w:r>
            <w:r>
              <w:rPr>
                <w:rFonts w:asciiTheme="majorEastAsia" w:eastAsiaTheme="majorEastAsia" w:hAnsiTheme="majorEastAsia" w:hint="eastAsia"/>
                <w:sz w:val="21"/>
                <w:szCs w:val="21"/>
              </w:rPr>
              <w:t>１０月から</w:t>
            </w:r>
            <w:r w:rsidRPr="00AC4284">
              <w:rPr>
                <w:rFonts w:asciiTheme="majorEastAsia" w:eastAsiaTheme="majorEastAsia" w:hAnsiTheme="majorEastAsia" w:hint="eastAsia"/>
                <w:sz w:val="21"/>
                <w:szCs w:val="21"/>
              </w:rPr>
              <w:t>１２月の指定業種に属する事業の売上高等</w:t>
            </w:r>
          </w:p>
        </w:tc>
        <w:tc>
          <w:tcPr>
            <w:tcW w:w="3254" w:type="dxa"/>
          </w:tcPr>
          <w:p w:rsidR="00AC4284" w:rsidRPr="00AC4284" w:rsidRDefault="00AC4284" w:rsidP="00AC4284">
            <w:pPr>
              <w:ind w:left="3780" w:hangingChars="1800" w:hanging="3780"/>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 xml:space="preserve">　　　　　　　　　　　　　　　　　　　　　　　　　　　</w:t>
            </w:r>
          </w:p>
        </w:tc>
      </w:tr>
      <w:tr w:rsidR="00AC4284" w:rsidRPr="00AC4284" w:rsidTr="00D63895">
        <w:trPr>
          <w:trHeight w:val="680"/>
        </w:trPr>
        <w:tc>
          <w:tcPr>
            <w:tcW w:w="5664" w:type="dxa"/>
            <w:vAlign w:val="center"/>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Ｃ：令和元年</w:t>
            </w:r>
            <w:r>
              <w:rPr>
                <w:rFonts w:asciiTheme="majorEastAsia" w:eastAsiaTheme="majorEastAsia" w:hAnsiTheme="majorEastAsia" w:hint="eastAsia"/>
                <w:sz w:val="21"/>
                <w:szCs w:val="21"/>
              </w:rPr>
              <w:t>１０月から</w:t>
            </w:r>
            <w:r w:rsidRPr="00AC4284">
              <w:rPr>
                <w:rFonts w:asciiTheme="majorEastAsia" w:eastAsiaTheme="majorEastAsia" w:hAnsiTheme="majorEastAsia" w:hint="eastAsia"/>
                <w:sz w:val="21"/>
                <w:szCs w:val="21"/>
              </w:rPr>
              <w:t>１２月の企業全体の売上高等</w:t>
            </w:r>
          </w:p>
        </w:tc>
        <w:tc>
          <w:tcPr>
            <w:tcW w:w="3254" w:type="dxa"/>
          </w:tcPr>
          <w:p w:rsidR="00AC4284" w:rsidRPr="00AC4284" w:rsidRDefault="00AC4284" w:rsidP="00AC4284">
            <w:pPr>
              <w:rPr>
                <w:rFonts w:asciiTheme="majorEastAsia" w:eastAsiaTheme="majorEastAsia" w:hAnsiTheme="majorEastAsia"/>
                <w:sz w:val="21"/>
                <w:szCs w:val="21"/>
              </w:rPr>
            </w:pPr>
          </w:p>
        </w:tc>
      </w:tr>
      <w:tr w:rsidR="00AC4284" w:rsidRPr="00AC4284" w:rsidTr="00D63895">
        <w:trPr>
          <w:trHeight w:val="680"/>
        </w:trPr>
        <w:tc>
          <w:tcPr>
            <w:tcW w:w="5664" w:type="dxa"/>
            <w:vAlign w:val="center"/>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Ｄ：Ａの期間後２か月間の指定業種に属する事業の見込み</w:t>
            </w:r>
          </w:p>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 xml:space="preserve">　　売上高等　（　　　　　月、　　　　月）</w:t>
            </w:r>
          </w:p>
        </w:tc>
        <w:tc>
          <w:tcPr>
            <w:tcW w:w="3254" w:type="dxa"/>
          </w:tcPr>
          <w:p w:rsidR="00AC4284" w:rsidRPr="00AC4284" w:rsidRDefault="00AC4284" w:rsidP="00AC4284">
            <w:pPr>
              <w:rPr>
                <w:rFonts w:asciiTheme="majorEastAsia" w:eastAsiaTheme="majorEastAsia" w:hAnsiTheme="majorEastAsia"/>
                <w:szCs w:val="21"/>
              </w:rPr>
            </w:pPr>
          </w:p>
        </w:tc>
      </w:tr>
    </w:tbl>
    <w:p w:rsidR="00AC4284" w:rsidRPr="00AC4284" w:rsidRDefault="00AC4284" w:rsidP="00AC4284">
      <w:pPr>
        <w:rPr>
          <w:rFonts w:asciiTheme="majorEastAsia" w:eastAsiaTheme="majorEastAsia" w:hAnsiTheme="majorEastAsia"/>
          <w:szCs w:val="21"/>
        </w:rPr>
      </w:pPr>
    </w:p>
    <w:p w:rsidR="00AC4284" w:rsidRPr="00AC4284" w:rsidRDefault="00AC4284" w:rsidP="00AC4284">
      <w:pPr>
        <w:jc w:val="right"/>
        <w:rPr>
          <w:rFonts w:asciiTheme="majorEastAsia" w:eastAsiaTheme="majorEastAsia" w:hAnsiTheme="majorEastAsia"/>
          <w:szCs w:val="21"/>
        </w:rPr>
      </w:pPr>
      <w:r w:rsidRPr="00AC4284">
        <w:rPr>
          <w:rFonts w:asciiTheme="majorEastAsia" w:eastAsiaTheme="majorEastAsia" w:hAnsiTheme="majorEastAsia" w:hint="eastAsia"/>
          <w:szCs w:val="21"/>
        </w:rPr>
        <w:t>(単位：％)</w:t>
      </w:r>
    </w:p>
    <w:tbl>
      <w:tblPr>
        <w:tblStyle w:val="11"/>
        <w:tblW w:w="0" w:type="auto"/>
        <w:tblInd w:w="137" w:type="dxa"/>
        <w:tblLook w:val="04A0" w:firstRow="1" w:lastRow="0" w:firstColumn="1" w:lastColumn="0" w:noHBand="0" w:noVBand="1"/>
      </w:tblPr>
      <w:tblGrid>
        <w:gridCol w:w="5664"/>
        <w:gridCol w:w="3254"/>
      </w:tblGrid>
      <w:tr w:rsidR="00AC4284" w:rsidRPr="00AC4284" w:rsidTr="00D63895">
        <w:tc>
          <w:tcPr>
            <w:tcW w:w="5664" w:type="dxa"/>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(イ)：最近１か月間の売上高等(割合)</w:t>
            </w:r>
          </w:p>
          <w:tbl>
            <w:tblPr>
              <w:tblStyle w:val="11"/>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276"/>
            </w:tblGrid>
            <w:tr w:rsidR="00AC4284" w:rsidRPr="00AC4284" w:rsidTr="000247A1">
              <w:tc>
                <w:tcPr>
                  <w:tcW w:w="1703" w:type="dxa"/>
                  <w:tcBorders>
                    <w:bottom w:val="single" w:sz="4" w:space="0" w:color="auto"/>
                  </w:tcBorders>
                </w:tcPr>
                <w:p w:rsidR="00AC4284" w:rsidRPr="00AC4284" w:rsidRDefault="000247A1" w:rsidP="00AC428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AC4284" w:rsidRPr="00AC4284">
                    <w:rPr>
                      <w:rFonts w:asciiTheme="majorEastAsia" w:eastAsiaTheme="majorEastAsia" w:hAnsiTheme="majorEastAsia" w:hint="eastAsia"/>
                      <w:sz w:val="21"/>
                      <w:szCs w:val="21"/>
                    </w:rPr>
                    <w:t>Ｂ</w:t>
                  </w:r>
                  <w:r>
                    <w:rPr>
                      <w:rFonts w:asciiTheme="majorEastAsia" w:eastAsiaTheme="majorEastAsia" w:hAnsiTheme="majorEastAsia" w:hint="eastAsia"/>
                      <w:sz w:val="21"/>
                      <w:szCs w:val="21"/>
                    </w:rPr>
                    <w:t>/３）</w:t>
                  </w:r>
                  <w:r w:rsidR="00AC4284" w:rsidRPr="00AC4284">
                    <w:rPr>
                      <w:rFonts w:asciiTheme="majorEastAsia" w:eastAsiaTheme="majorEastAsia" w:hAnsiTheme="majorEastAsia" w:hint="eastAsia"/>
                      <w:sz w:val="21"/>
                      <w:szCs w:val="21"/>
                    </w:rPr>
                    <w:t>－Ａ</w:t>
                  </w:r>
                </w:p>
              </w:tc>
              <w:tc>
                <w:tcPr>
                  <w:tcW w:w="1276" w:type="dxa"/>
                  <w:vMerge w:val="restart"/>
                  <w:vAlign w:val="center"/>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×100</w:t>
                  </w:r>
                </w:p>
              </w:tc>
            </w:tr>
            <w:tr w:rsidR="00AC4284" w:rsidRPr="00AC4284" w:rsidTr="000247A1">
              <w:tc>
                <w:tcPr>
                  <w:tcW w:w="1703" w:type="dxa"/>
                  <w:tcBorders>
                    <w:top w:val="single" w:sz="4" w:space="0" w:color="auto"/>
                  </w:tcBorders>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w:t>
                  </w:r>
                  <w:r w:rsidR="000247A1">
                    <w:rPr>
                      <w:rFonts w:asciiTheme="majorEastAsia" w:eastAsiaTheme="majorEastAsia" w:hAnsiTheme="majorEastAsia" w:hint="eastAsia"/>
                      <w:sz w:val="21"/>
                      <w:szCs w:val="21"/>
                    </w:rPr>
                    <w:t>/</w:t>
                  </w:r>
                  <w:r w:rsidR="00F30F3D">
                    <w:rPr>
                      <w:rFonts w:asciiTheme="majorEastAsia" w:eastAsiaTheme="majorEastAsia" w:hAnsiTheme="majorEastAsia" w:hint="eastAsia"/>
                      <w:sz w:val="21"/>
                      <w:szCs w:val="21"/>
                    </w:rPr>
                    <w:t>３</w:t>
                  </w:r>
                </w:p>
              </w:tc>
              <w:tc>
                <w:tcPr>
                  <w:tcW w:w="1276" w:type="dxa"/>
                  <w:vMerge/>
                </w:tcPr>
                <w:p w:rsidR="00AC4284" w:rsidRPr="00AC4284" w:rsidRDefault="00AC4284" w:rsidP="00AC4284">
                  <w:pPr>
                    <w:jc w:val="cente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 w:val="21"/>
                <w:szCs w:val="21"/>
                <w:u w:val="single"/>
              </w:rPr>
            </w:pPr>
          </w:p>
        </w:tc>
        <w:tc>
          <w:tcPr>
            <w:tcW w:w="3254" w:type="dxa"/>
            <w:vAlign w:val="center"/>
          </w:tcPr>
          <w:p w:rsidR="00AC4284" w:rsidRPr="00AC4284" w:rsidRDefault="00AC4284" w:rsidP="00AC4284">
            <w:pPr>
              <w:rPr>
                <w:rFonts w:asciiTheme="majorEastAsia" w:eastAsiaTheme="majorEastAsia" w:hAnsiTheme="majorEastAsia"/>
                <w:sz w:val="21"/>
                <w:szCs w:val="21"/>
              </w:rPr>
            </w:pPr>
          </w:p>
        </w:tc>
      </w:tr>
      <w:tr w:rsidR="00AC4284" w:rsidRPr="00AC4284" w:rsidTr="00D63895">
        <w:tc>
          <w:tcPr>
            <w:tcW w:w="5664" w:type="dxa"/>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(ロ)：最近３か月間の売上高等の実績見込み(割合)</w:t>
            </w:r>
          </w:p>
          <w:tbl>
            <w:tblPr>
              <w:tblStyle w:val="11"/>
              <w:tblW w:w="0" w:type="auto"/>
              <w:tblInd w:w="934" w:type="dxa"/>
              <w:tblLook w:val="04A0" w:firstRow="1" w:lastRow="0" w:firstColumn="1" w:lastColumn="0" w:noHBand="0" w:noVBand="1"/>
            </w:tblPr>
            <w:tblGrid>
              <w:gridCol w:w="2214"/>
              <w:gridCol w:w="792"/>
            </w:tblGrid>
            <w:tr w:rsidR="00AC4284" w:rsidRPr="00AC4284" w:rsidTr="00D63895">
              <w:tc>
                <w:tcPr>
                  <w:tcW w:w="2214" w:type="dxa"/>
                  <w:tcBorders>
                    <w:top w:val="nil"/>
                    <w:left w:val="nil"/>
                    <w:bottom w:val="single" w:sz="4" w:space="0" w:color="auto"/>
                    <w:right w:val="nil"/>
                  </w:tcBorders>
                </w:tcPr>
                <w:p w:rsidR="00AC4284" w:rsidRPr="00AC4284" w:rsidRDefault="000247A1" w:rsidP="000247A1">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00AC4284" w:rsidRPr="00AC4284">
                    <w:rPr>
                      <w:rFonts w:asciiTheme="majorEastAsia" w:eastAsiaTheme="majorEastAsia" w:hAnsiTheme="majorEastAsia" w:hint="eastAsia"/>
                      <w:sz w:val="21"/>
                      <w:szCs w:val="21"/>
                    </w:rPr>
                    <w:t>－（Ａ＋Ｄ）</w:t>
                  </w:r>
                </w:p>
              </w:tc>
              <w:tc>
                <w:tcPr>
                  <w:tcW w:w="792" w:type="dxa"/>
                  <w:vMerge w:val="restart"/>
                  <w:tcBorders>
                    <w:top w:val="nil"/>
                    <w:left w:val="nil"/>
                    <w:bottom w:val="nil"/>
                    <w:right w:val="nil"/>
                  </w:tcBorders>
                  <w:vAlign w:val="center"/>
                </w:tcPr>
                <w:p w:rsidR="00AC4284" w:rsidRPr="00AC4284" w:rsidRDefault="00AC4284" w:rsidP="00AC4284">
                  <w:pPr>
                    <w:jc w:val="left"/>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×100</w:t>
                  </w:r>
                </w:p>
              </w:tc>
            </w:tr>
            <w:tr w:rsidR="00AC4284" w:rsidRPr="00AC4284" w:rsidTr="00D63895">
              <w:tc>
                <w:tcPr>
                  <w:tcW w:w="2214" w:type="dxa"/>
                  <w:tcBorders>
                    <w:top w:val="single" w:sz="4" w:space="0" w:color="auto"/>
                    <w:left w:val="nil"/>
                    <w:bottom w:val="nil"/>
                    <w:right w:val="nil"/>
                  </w:tcBorders>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w:t>
                  </w:r>
                </w:p>
              </w:tc>
              <w:tc>
                <w:tcPr>
                  <w:tcW w:w="792" w:type="dxa"/>
                  <w:vMerge/>
                  <w:tcBorders>
                    <w:top w:val="nil"/>
                    <w:left w:val="nil"/>
                    <w:bottom w:val="nil"/>
                    <w:right w:val="nil"/>
                  </w:tcBorders>
                </w:tcPr>
                <w:p w:rsidR="00AC4284" w:rsidRPr="00AC4284" w:rsidRDefault="00AC4284" w:rsidP="00AC4284">
                  <w:pP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 w:val="21"/>
                <w:szCs w:val="21"/>
              </w:rPr>
            </w:pPr>
          </w:p>
        </w:tc>
        <w:tc>
          <w:tcPr>
            <w:tcW w:w="3254" w:type="dxa"/>
            <w:vAlign w:val="bottom"/>
          </w:tcPr>
          <w:p w:rsidR="00AC4284" w:rsidRPr="00AC4284" w:rsidRDefault="00AC4284" w:rsidP="00AC4284">
            <w:pP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Cs w:val="21"/>
        </w:rPr>
      </w:pPr>
    </w:p>
    <w:p w:rsidR="00AC4284" w:rsidRPr="00AC4284" w:rsidRDefault="00AC4284" w:rsidP="00AC4284">
      <w:pPr>
        <w:rPr>
          <w:rFonts w:asciiTheme="majorEastAsia" w:eastAsiaTheme="majorEastAsia" w:hAnsiTheme="majorEastAsia"/>
          <w:b/>
          <w:szCs w:val="21"/>
        </w:rPr>
      </w:pPr>
      <w:r w:rsidRPr="00AC4284">
        <w:rPr>
          <w:rFonts w:asciiTheme="majorEastAsia" w:eastAsiaTheme="majorEastAsia" w:hAnsiTheme="majorEastAsia" w:hint="eastAsia"/>
          <w:b/>
          <w:szCs w:val="21"/>
        </w:rPr>
        <w:t>○企業全体の売上高の状況</w:t>
      </w:r>
    </w:p>
    <w:p w:rsidR="00AC4284" w:rsidRPr="00AC4284" w:rsidRDefault="00AC4284" w:rsidP="00AC4284">
      <w:pPr>
        <w:jc w:val="right"/>
        <w:rPr>
          <w:rFonts w:asciiTheme="majorEastAsia" w:eastAsiaTheme="majorEastAsia" w:hAnsiTheme="majorEastAsia"/>
          <w:szCs w:val="21"/>
        </w:rPr>
      </w:pPr>
      <w:r w:rsidRPr="00AC4284">
        <w:rPr>
          <w:rFonts w:asciiTheme="majorEastAsia" w:eastAsiaTheme="majorEastAsia" w:hAnsiTheme="majorEastAsia" w:hint="eastAsia"/>
          <w:szCs w:val="21"/>
        </w:rPr>
        <w:t>(単位：円)</w:t>
      </w:r>
    </w:p>
    <w:tbl>
      <w:tblPr>
        <w:tblStyle w:val="11"/>
        <w:tblW w:w="0" w:type="auto"/>
        <w:tblInd w:w="137" w:type="dxa"/>
        <w:tblLook w:val="04A0" w:firstRow="1" w:lastRow="0" w:firstColumn="1" w:lastColumn="0" w:noHBand="0" w:noVBand="1"/>
      </w:tblPr>
      <w:tblGrid>
        <w:gridCol w:w="5664"/>
        <w:gridCol w:w="3254"/>
      </w:tblGrid>
      <w:tr w:rsidR="00AC4284" w:rsidRPr="00AC4284" w:rsidTr="00D63895">
        <w:trPr>
          <w:trHeight w:val="680"/>
        </w:trPr>
        <w:tc>
          <w:tcPr>
            <w:tcW w:w="5664" w:type="dxa"/>
            <w:vAlign w:val="center"/>
          </w:tcPr>
          <w:p w:rsidR="00AC4284" w:rsidRPr="00AC4284" w:rsidRDefault="00AC4284" w:rsidP="00AC4284">
            <w:pPr>
              <w:ind w:left="420" w:hangingChars="200" w:hanging="420"/>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Ｅ：Ａの期間に対応する企業全体の売上高等（　　　月）</w:t>
            </w:r>
          </w:p>
        </w:tc>
        <w:tc>
          <w:tcPr>
            <w:tcW w:w="3254" w:type="dxa"/>
          </w:tcPr>
          <w:p w:rsidR="00AC4284" w:rsidRPr="00AC4284" w:rsidRDefault="00AC4284" w:rsidP="00AC4284">
            <w:pPr>
              <w:ind w:left="3780" w:hangingChars="1800" w:hanging="3780"/>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 xml:space="preserve">　　　　　　　　　　　　　　　　　　　　　　　　　　　</w:t>
            </w:r>
          </w:p>
        </w:tc>
      </w:tr>
      <w:tr w:rsidR="00AC4284" w:rsidRPr="00AC4284" w:rsidTr="00D63895">
        <w:trPr>
          <w:trHeight w:val="680"/>
        </w:trPr>
        <w:tc>
          <w:tcPr>
            <w:tcW w:w="5664" w:type="dxa"/>
            <w:vAlign w:val="center"/>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Ｆ：Ｅの期間後２か月間の企業全体の見込み売上高等</w:t>
            </w:r>
          </w:p>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sz w:val="21"/>
                <w:szCs w:val="21"/>
              </w:rPr>
              <w:t xml:space="preserve">　　　　　　　　（　　　　　</w:t>
            </w:r>
            <w:r w:rsidRPr="00AC4284">
              <w:rPr>
                <w:rFonts w:asciiTheme="majorEastAsia" w:eastAsiaTheme="majorEastAsia" w:hAnsiTheme="majorEastAsia" w:hint="eastAsia"/>
                <w:sz w:val="21"/>
                <w:szCs w:val="21"/>
              </w:rPr>
              <w:t>月、　　　月）</w:t>
            </w:r>
          </w:p>
        </w:tc>
        <w:tc>
          <w:tcPr>
            <w:tcW w:w="3254" w:type="dxa"/>
          </w:tcPr>
          <w:p w:rsidR="00AC4284" w:rsidRPr="00AC4284" w:rsidRDefault="00AC4284" w:rsidP="00AC4284">
            <w:pP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Cs w:val="21"/>
        </w:rPr>
      </w:pPr>
    </w:p>
    <w:p w:rsidR="00AC4284" w:rsidRPr="00AC4284" w:rsidRDefault="00AC4284" w:rsidP="00AC4284">
      <w:pPr>
        <w:jc w:val="right"/>
        <w:rPr>
          <w:rFonts w:asciiTheme="majorEastAsia" w:eastAsiaTheme="majorEastAsia" w:hAnsiTheme="majorEastAsia"/>
          <w:szCs w:val="21"/>
        </w:rPr>
      </w:pPr>
      <w:r w:rsidRPr="00AC4284">
        <w:rPr>
          <w:rFonts w:asciiTheme="majorEastAsia" w:eastAsiaTheme="majorEastAsia" w:hAnsiTheme="majorEastAsia" w:hint="eastAsia"/>
          <w:szCs w:val="21"/>
        </w:rPr>
        <w:t>(単位：％)</w:t>
      </w:r>
    </w:p>
    <w:tbl>
      <w:tblPr>
        <w:tblStyle w:val="11"/>
        <w:tblW w:w="0" w:type="auto"/>
        <w:tblInd w:w="137" w:type="dxa"/>
        <w:tblLook w:val="04A0" w:firstRow="1" w:lastRow="0" w:firstColumn="1" w:lastColumn="0" w:noHBand="0" w:noVBand="1"/>
      </w:tblPr>
      <w:tblGrid>
        <w:gridCol w:w="5664"/>
        <w:gridCol w:w="3254"/>
      </w:tblGrid>
      <w:tr w:rsidR="00AC4284" w:rsidRPr="00AC4284" w:rsidTr="00D63895">
        <w:tc>
          <w:tcPr>
            <w:tcW w:w="5664" w:type="dxa"/>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(イ)：最近１か月間の売上高等(減少率)</w:t>
            </w:r>
          </w:p>
          <w:tbl>
            <w:tblPr>
              <w:tblStyle w:val="11"/>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992"/>
            </w:tblGrid>
            <w:tr w:rsidR="00AC4284" w:rsidRPr="00AC4284" w:rsidTr="000247A1">
              <w:tc>
                <w:tcPr>
                  <w:tcW w:w="2129" w:type="dxa"/>
                  <w:tcBorders>
                    <w:bottom w:val="single" w:sz="4" w:space="0" w:color="auto"/>
                  </w:tcBorders>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w:t>
                  </w:r>
                  <w:r w:rsidR="000247A1">
                    <w:rPr>
                      <w:rFonts w:asciiTheme="majorEastAsia" w:eastAsiaTheme="majorEastAsia" w:hAnsiTheme="majorEastAsia" w:hint="eastAsia"/>
                      <w:sz w:val="21"/>
                      <w:szCs w:val="21"/>
                    </w:rPr>
                    <w:t>/３</w:t>
                  </w:r>
                  <w:r w:rsidRPr="00AC4284">
                    <w:rPr>
                      <w:rFonts w:asciiTheme="majorEastAsia" w:eastAsiaTheme="majorEastAsia" w:hAnsiTheme="majorEastAsia" w:hint="eastAsia"/>
                      <w:sz w:val="21"/>
                      <w:szCs w:val="21"/>
                    </w:rPr>
                    <w:t>－Ｅ</w:t>
                  </w:r>
                </w:p>
              </w:tc>
              <w:tc>
                <w:tcPr>
                  <w:tcW w:w="992" w:type="dxa"/>
                  <w:vMerge w:val="restart"/>
                  <w:vAlign w:val="center"/>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×100</w:t>
                  </w:r>
                </w:p>
              </w:tc>
            </w:tr>
            <w:tr w:rsidR="00AC4284" w:rsidRPr="00AC4284" w:rsidTr="000247A1">
              <w:tc>
                <w:tcPr>
                  <w:tcW w:w="2129" w:type="dxa"/>
                  <w:tcBorders>
                    <w:top w:val="single" w:sz="4" w:space="0" w:color="auto"/>
                  </w:tcBorders>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w:t>
                  </w:r>
                  <w:r w:rsidR="000247A1">
                    <w:rPr>
                      <w:rFonts w:asciiTheme="majorEastAsia" w:eastAsiaTheme="majorEastAsia" w:hAnsiTheme="majorEastAsia" w:hint="eastAsia"/>
                      <w:sz w:val="21"/>
                      <w:szCs w:val="21"/>
                    </w:rPr>
                    <w:t>/３</w:t>
                  </w:r>
                </w:p>
              </w:tc>
              <w:tc>
                <w:tcPr>
                  <w:tcW w:w="992" w:type="dxa"/>
                  <w:vMerge/>
                </w:tcPr>
                <w:p w:rsidR="00AC4284" w:rsidRPr="00AC4284" w:rsidRDefault="00AC4284" w:rsidP="00AC4284">
                  <w:pPr>
                    <w:jc w:val="cente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 w:val="21"/>
                <w:szCs w:val="21"/>
                <w:u w:val="single"/>
              </w:rPr>
            </w:pPr>
          </w:p>
        </w:tc>
        <w:tc>
          <w:tcPr>
            <w:tcW w:w="3254" w:type="dxa"/>
            <w:vAlign w:val="center"/>
          </w:tcPr>
          <w:p w:rsidR="00AC4284" w:rsidRPr="00AC4284" w:rsidRDefault="00AC4284" w:rsidP="00AC4284">
            <w:pPr>
              <w:rPr>
                <w:rFonts w:asciiTheme="majorEastAsia" w:eastAsiaTheme="majorEastAsia" w:hAnsiTheme="majorEastAsia"/>
                <w:sz w:val="21"/>
                <w:szCs w:val="21"/>
              </w:rPr>
            </w:pPr>
          </w:p>
        </w:tc>
      </w:tr>
      <w:tr w:rsidR="00AC4284" w:rsidRPr="00AC4284" w:rsidTr="00D63895">
        <w:tc>
          <w:tcPr>
            <w:tcW w:w="5664" w:type="dxa"/>
          </w:tcPr>
          <w:p w:rsidR="00AC4284" w:rsidRPr="00AC4284" w:rsidRDefault="00AC4284" w:rsidP="00AC4284">
            <w:pP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(ロ)：最近３か月間の売上高等の実績見込み(減少率)</w:t>
            </w:r>
          </w:p>
          <w:tbl>
            <w:tblPr>
              <w:tblStyle w:val="11"/>
              <w:tblW w:w="0" w:type="auto"/>
              <w:tblInd w:w="934" w:type="dxa"/>
              <w:tblLook w:val="04A0" w:firstRow="1" w:lastRow="0" w:firstColumn="1" w:lastColumn="0" w:noHBand="0" w:noVBand="1"/>
            </w:tblPr>
            <w:tblGrid>
              <w:gridCol w:w="2214"/>
              <w:gridCol w:w="792"/>
            </w:tblGrid>
            <w:tr w:rsidR="00AC4284" w:rsidRPr="00AC4284" w:rsidTr="00D63895">
              <w:tc>
                <w:tcPr>
                  <w:tcW w:w="2214" w:type="dxa"/>
                  <w:tcBorders>
                    <w:top w:val="nil"/>
                    <w:left w:val="nil"/>
                    <w:bottom w:val="single" w:sz="4" w:space="0" w:color="auto"/>
                    <w:right w:val="nil"/>
                  </w:tcBorders>
                </w:tcPr>
                <w:p w:rsidR="00AC4284" w:rsidRPr="00AC4284" w:rsidRDefault="000247A1" w:rsidP="000247A1">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00AC4284" w:rsidRPr="00AC4284">
                    <w:rPr>
                      <w:rFonts w:asciiTheme="majorEastAsia" w:eastAsiaTheme="majorEastAsia" w:hAnsiTheme="majorEastAsia" w:hint="eastAsia"/>
                      <w:sz w:val="21"/>
                      <w:szCs w:val="21"/>
                    </w:rPr>
                    <w:t>－（Ｅ＋Ｆ）</w:t>
                  </w:r>
                </w:p>
              </w:tc>
              <w:tc>
                <w:tcPr>
                  <w:tcW w:w="792" w:type="dxa"/>
                  <w:vMerge w:val="restart"/>
                  <w:tcBorders>
                    <w:top w:val="nil"/>
                    <w:left w:val="nil"/>
                    <w:bottom w:val="nil"/>
                    <w:right w:val="nil"/>
                  </w:tcBorders>
                  <w:vAlign w:val="center"/>
                </w:tcPr>
                <w:p w:rsidR="00AC4284" w:rsidRPr="00AC4284" w:rsidRDefault="00AC4284" w:rsidP="00AC4284">
                  <w:pPr>
                    <w:jc w:val="left"/>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×100</w:t>
                  </w:r>
                </w:p>
              </w:tc>
            </w:tr>
            <w:tr w:rsidR="00AC4284" w:rsidRPr="00AC4284" w:rsidTr="00D63895">
              <w:tc>
                <w:tcPr>
                  <w:tcW w:w="2214" w:type="dxa"/>
                  <w:tcBorders>
                    <w:top w:val="single" w:sz="4" w:space="0" w:color="auto"/>
                    <w:left w:val="nil"/>
                    <w:bottom w:val="nil"/>
                    <w:right w:val="nil"/>
                  </w:tcBorders>
                </w:tcPr>
                <w:p w:rsidR="00AC4284" w:rsidRPr="00AC4284" w:rsidRDefault="00AC4284" w:rsidP="00AC4284">
                  <w:pPr>
                    <w:jc w:val="center"/>
                    <w:rPr>
                      <w:rFonts w:asciiTheme="majorEastAsia" w:eastAsiaTheme="majorEastAsia" w:hAnsiTheme="majorEastAsia"/>
                      <w:sz w:val="21"/>
                      <w:szCs w:val="21"/>
                    </w:rPr>
                  </w:pPr>
                  <w:r w:rsidRPr="00AC4284">
                    <w:rPr>
                      <w:rFonts w:asciiTheme="majorEastAsia" w:eastAsiaTheme="majorEastAsia" w:hAnsiTheme="majorEastAsia" w:hint="eastAsia"/>
                      <w:sz w:val="21"/>
                      <w:szCs w:val="21"/>
                    </w:rPr>
                    <w:t>Ｃ</w:t>
                  </w:r>
                </w:p>
              </w:tc>
              <w:tc>
                <w:tcPr>
                  <w:tcW w:w="792" w:type="dxa"/>
                  <w:vMerge/>
                  <w:tcBorders>
                    <w:top w:val="nil"/>
                    <w:left w:val="nil"/>
                    <w:bottom w:val="nil"/>
                    <w:right w:val="nil"/>
                  </w:tcBorders>
                </w:tcPr>
                <w:p w:rsidR="00AC4284" w:rsidRPr="00AC4284" w:rsidRDefault="00AC4284" w:rsidP="00AC4284">
                  <w:pP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 w:val="21"/>
                <w:szCs w:val="21"/>
              </w:rPr>
            </w:pPr>
          </w:p>
        </w:tc>
        <w:tc>
          <w:tcPr>
            <w:tcW w:w="3254" w:type="dxa"/>
            <w:vAlign w:val="bottom"/>
          </w:tcPr>
          <w:p w:rsidR="00AC4284" w:rsidRPr="00AC4284" w:rsidRDefault="00AC4284" w:rsidP="00AC4284">
            <w:pPr>
              <w:rPr>
                <w:rFonts w:asciiTheme="majorEastAsia" w:eastAsiaTheme="majorEastAsia" w:hAnsiTheme="majorEastAsia"/>
                <w:sz w:val="21"/>
                <w:szCs w:val="21"/>
              </w:rPr>
            </w:pPr>
          </w:p>
        </w:tc>
      </w:tr>
    </w:tbl>
    <w:p w:rsidR="00AC4284" w:rsidRPr="00AC4284" w:rsidRDefault="00AC4284" w:rsidP="00AC4284">
      <w:pPr>
        <w:rPr>
          <w:rFonts w:asciiTheme="majorEastAsia" w:eastAsiaTheme="majorEastAsia" w:hAnsiTheme="majorEastAsia"/>
          <w:szCs w:val="21"/>
        </w:rPr>
      </w:pPr>
    </w:p>
    <w:p w:rsidR="00AC4284" w:rsidRPr="00AC4284" w:rsidRDefault="00AC4284" w:rsidP="00AC4284">
      <w:pPr>
        <w:rPr>
          <w:rFonts w:asciiTheme="majorEastAsia" w:eastAsiaTheme="majorEastAsia" w:hAnsiTheme="majorEastAsia"/>
          <w:szCs w:val="21"/>
        </w:rPr>
      </w:pPr>
    </w:p>
    <w:p w:rsidR="00AC4284" w:rsidRPr="00AC4284" w:rsidRDefault="00AC4284" w:rsidP="00AC4284">
      <w:pPr>
        <w:ind w:firstLineChars="300" w:firstLine="630"/>
        <w:rPr>
          <w:rFonts w:asciiTheme="majorEastAsia" w:eastAsiaTheme="majorEastAsia" w:hAnsiTheme="majorEastAsia"/>
          <w:szCs w:val="21"/>
        </w:rPr>
      </w:pPr>
      <w:r w:rsidRPr="00AC4284">
        <w:rPr>
          <w:rFonts w:asciiTheme="majorEastAsia" w:eastAsiaTheme="majorEastAsia" w:hAnsiTheme="majorEastAsia" w:hint="eastAsia"/>
          <w:szCs w:val="21"/>
        </w:rPr>
        <w:t>観 音 寺 市 長　殿</w:t>
      </w:r>
    </w:p>
    <w:p w:rsidR="00AC4284" w:rsidRPr="00AC4284" w:rsidRDefault="00AC4284" w:rsidP="00AC4284">
      <w:pPr>
        <w:ind w:firstLineChars="300" w:firstLine="630"/>
        <w:rPr>
          <w:rFonts w:asciiTheme="majorEastAsia" w:eastAsiaTheme="majorEastAsia" w:hAnsiTheme="majorEastAsia"/>
          <w:szCs w:val="21"/>
        </w:rPr>
      </w:pPr>
      <w:r w:rsidRPr="00AC4284">
        <w:rPr>
          <w:rFonts w:asciiTheme="majorEastAsia" w:eastAsiaTheme="majorEastAsia" w:hAnsiTheme="majorEastAsia" w:hint="eastAsia"/>
          <w:szCs w:val="21"/>
        </w:rPr>
        <w:t>上記のとおり相違ありません。</w:t>
      </w:r>
    </w:p>
    <w:p w:rsidR="00AC4284" w:rsidRPr="00AC4284" w:rsidRDefault="00AC4284" w:rsidP="00AC4284">
      <w:pPr>
        <w:rPr>
          <w:rFonts w:asciiTheme="majorEastAsia" w:eastAsiaTheme="majorEastAsia" w:hAnsiTheme="majorEastAsia"/>
          <w:szCs w:val="21"/>
        </w:rPr>
      </w:pPr>
    </w:p>
    <w:p w:rsidR="00AC4284" w:rsidRPr="00AC4284" w:rsidRDefault="00AC4284" w:rsidP="00AC4284">
      <w:pPr>
        <w:ind w:right="840"/>
        <w:jc w:val="center"/>
        <w:rPr>
          <w:rFonts w:asciiTheme="majorEastAsia" w:eastAsiaTheme="majorEastAsia" w:hAnsiTheme="majorEastAsia"/>
          <w:szCs w:val="21"/>
        </w:rPr>
      </w:pPr>
      <w:r w:rsidRPr="00AC4284">
        <w:rPr>
          <w:rFonts w:asciiTheme="majorEastAsia" w:eastAsiaTheme="majorEastAsia" w:hAnsiTheme="majorEastAsia" w:hint="eastAsia"/>
          <w:szCs w:val="21"/>
        </w:rPr>
        <w:t xml:space="preserve">　　　　　　　　　　　　　　　　　　　　令和　　年　　月　　日</w:t>
      </w:r>
    </w:p>
    <w:p w:rsidR="00AC4284" w:rsidRPr="00AC4284" w:rsidRDefault="00AC4284" w:rsidP="00AC4284">
      <w:pPr>
        <w:jc w:val="center"/>
        <w:rPr>
          <w:rFonts w:asciiTheme="majorEastAsia" w:eastAsiaTheme="majorEastAsia" w:hAnsiTheme="majorEastAsia"/>
          <w:szCs w:val="21"/>
        </w:rPr>
      </w:pPr>
      <w:r w:rsidRPr="00AC4284">
        <w:rPr>
          <w:rFonts w:asciiTheme="majorEastAsia" w:eastAsiaTheme="majorEastAsia" w:hAnsiTheme="majorEastAsia" w:hint="eastAsia"/>
          <w:szCs w:val="21"/>
        </w:rPr>
        <w:t xml:space="preserve">　　　　</w:t>
      </w:r>
    </w:p>
    <w:p w:rsidR="00AC4284" w:rsidRPr="00AC4284" w:rsidRDefault="00AC4284" w:rsidP="00AC4284">
      <w:pPr>
        <w:jc w:val="center"/>
        <w:rPr>
          <w:rFonts w:asciiTheme="majorEastAsia" w:eastAsiaTheme="majorEastAsia" w:hAnsiTheme="majorEastAsia"/>
          <w:szCs w:val="21"/>
        </w:rPr>
      </w:pPr>
      <w:r w:rsidRPr="00AC4284">
        <w:rPr>
          <w:rFonts w:asciiTheme="majorEastAsia" w:eastAsiaTheme="majorEastAsia" w:hAnsiTheme="majorEastAsia" w:hint="eastAsia"/>
          <w:szCs w:val="21"/>
        </w:rPr>
        <w:t xml:space="preserve">　　　　申請者</w:t>
      </w:r>
    </w:p>
    <w:p w:rsidR="00AC4284" w:rsidRPr="00AC4284" w:rsidRDefault="00AC4284" w:rsidP="00AC4284">
      <w:pPr>
        <w:jc w:val="center"/>
        <w:rPr>
          <w:rFonts w:asciiTheme="majorEastAsia" w:eastAsiaTheme="majorEastAsia" w:hAnsiTheme="majorEastAsia"/>
          <w:szCs w:val="21"/>
        </w:rPr>
      </w:pPr>
      <w:r w:rsidRPr="00AC4284">
        <w:rPr>
          <w:rFonts w:asciiTheme="majorEastAsia" w:eastAsiaTheme="majorEastAsia" w:hAnsiTheme="majorEastAsia" w:hint="eastAsia"/>
          <w:szCs w:val="21"/>
        </w:rPr>
        <w:t xml:space="preserve">　　　　住　所</w:t>
      </w:r>
    </w:p>
    <w:p w:rsidR="00AC4284" w:rsidRPr="00AC4284" w:rsidRDefault="00AC4284" w:rsidP="00AC4284">
      <w:pPr>
        <w:jc w:val="center"/>
        <w:rPr>
          <w:rFonts w:asciiTheme="majorEastAsia" w:eastAsiaTheme="majorEastAsia" w:hAnsiTheme="majorEastAsia"/>
          <w:szCs w:val="21"/>
        </w:rPr>
      </w:pPr>
      <w:r w:rsidRPr="00AC4284">
        <w:rPr>
          <w:rFonts w:asciiTheme="majorEastAsia" w:eastAsiaTheme="majorEastAsia" w:hAnsiTheme="majorEastAsia" w:hint="eastAsia"/>
          <w:szCs w:val="21"/>
        </w:rPr>
        <w:t xml:space="preserve">　　　　　　　　　　　　　　　　　　　　氏　名　　　　　　　　　　　　　　　印</w:t>
      </w:r>
    </w:p>
    <w:p w:rsidR="00AC4284" w:rsidRPr="00AC4284" w:rsidRDefault="00AC4284" w:rsidP="00AC428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Pr="00AC4284" w:rsidRDefault="00550E53" w:rsidP="00AC4284">
      <w:pPr>
        <w:widowControl/>
        <w:jc w:val="left"/>
        <w:rPr>
          <w:rFonts w:asciiTheme="majorEastAsia" w:eastAsiaTheme="majorEastAsia" w:hAnsiTheme="majorEastAsia"/>
        </w:rPr>
      </w:pPr>
    </w:p>
    <w:sectPr w:rsidR="00550E53" w:rsidRPr="00AC4284">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70" w:rsidRDefault="003B0270">
      <w:r>
        <w:separator/>
      </w:r>
    </w:p>
  </w:endnote>
  <w:endnote w:type="continuationSeparator" w:id="0">
    <w:p w:rsidR="003B0270" w:rsidRDefault="003B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70" w:rsidRDefault="003B0270">
      <w:r>
        <w:separator/>
      </w:r>
    </w:p>
  </w:footnote>
  <w:footnote w:type="continuationSeparator" w:id="0">
    <w:p w:rsidR="003B0270" w:rsidRDefault="003B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47A1"/>
    <w:rsid w:val="0016271E"/>
    <w:rsid w:val="003B0270"/>
    <w:rsid w:val="003E0C68"/>
    <w:rsid w:val="00404070"/>
    <w:rsid w:val="004806E8"/>
    <w:rsid w:val="00497A82"/>
    <w:rsid w:val="00550E53"/>
    <w:rsid w:val="00995DDD"/>
    <w:rsid w:val="00A14AA3"/>
    <w:rsid w:val="00A179F0"/>
    <w:rsid w:val="00AC4284"/>
    <w:rsid w:val="00AD41AF"/>
    <w:rsid w:val="00B47453"/>
    <w:rsid w:val="00B53D65"/>
    <w:rsid w:val="00E70266"/>
    <w:rsid w:val="00E8394A"/>
    <w:rsid w:val="00EB4642"/>
    <w:rsid w:val="00EC0D6B"/>
    <w:rsid w:val="00F30F3D"/>
    <w:rsid w:val="00F72D1F"/>
    <w:rsid w:val="00FB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C4284"/>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4744-6815-473C-B4DD-38DC9157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2020-04-20T11:34:00Z</dcterms:created>
  <dcterms:modified xsi:type="dcterms:W3CDTF">2022-03-30T04:23:00Z</dcterms:modified>
</cp:coreProperties>
</file>