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jc w:val="lef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様式第４号（第８条関係）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　　年　　月　　日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観音寺市長　　　　　　　宛て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申請者　住　所　　　　　　　　　　　　　　　　　</w:t>
      </w:r>
    </w:p>
    <w:p>
      <w:pPr>
        <w:pStyle w:val="0"/>
        <w:wordWrap w:val="0"/>
        <w:ind w:left="0" w:leftChars="0" w:rightChars="0" w:hanging="220" w:hangingChars="100"/>
        <w:jc w:val="righ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氏　名　　　　　　　　　　　　　　　　　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jc w:val="center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jc w:val="center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観音寺市民間住宅耐震対策支援事業繰越承認申請書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　　　　年　　月　　日付け　　観建第　　号をもって補助金の交付決定を受けた標記事業について、下記のとおり予定期間内に完了することができないため、観音寺市民間住宅耐震対策支援事業費補助金交付要綱第８条の規定により、翌年度への繰越の承認を申請します。</w:t>
      </w: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記</w:t>
      </w: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highlight w:val="none"/>
          <w:u w:val="none" w:color="auto"/>
        </w:rPr>
      </w:pPr>
      <w:r>
        <w:rPr>
          <w:rFonts w:hint="eastAsia" w:ascii="ＭＳ 明朝" w:hAnsi="ＭＳ 明朝"/>
          <w:color w:val="auto"/>
          <w:highlight w:val="none"/>
          <w:u w:val="none" w:color="auto"/>
        </w:rPr>
        <w:t>１　事業の繰越の承認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highlight w:val="none"/>
          <w:u w:val="none" w:color="auto"/>
        </w:rPr>
      </w:pPr>
      <w:r>
        <w:rPr>
          <w:rFonts w:hint="eastAsia" w:ascii="ＭＳ 明朝" w:hAnsi="ＭＳ 明朝"/>
          <w:color w:val="auto"/>
          <w:highlight w:val="none"/>
          <w:u w:val="none" w:color="auto"/>
        </w:rPr>
        <w:t>　　（</w:t>
      </w:r>
      <w:r>
        <w:rPr>
          <w:rFonts w:hint="eastAsia" w:ascii="ＭＳ 明朝" w:hAnsi="ＭＳ 明朝"/>
          <w:strike w:val="0"/>
          <w:dstrike w:val="0"/>
          <w:color w:val="auto"/>
          <w:highlight w:val="none"/>
          <w:u w:val="none" w:color="auto"/>
        </w:rPr>
        <w:t>１</w:t>
      </w:r>
      <w:r>
        <w:rPr>
          <w:rFonts w:hint="eastAsia" w:ascii="ＭＳ 明朝" w:hAnsi="ＭＳ 明朝"/>
          <w:color w:val="auto"/>
          <w:highlight w:val="none"/>
          <w:u w:val="none" w:color="auto"/>
        </w:rPr>
        <w:t>）事業完了予定日　　　　　　　　　　年　　月　　日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highlight w:val="none"/>
          <w:u w:val="none" w:color="auto"/>
        </w:rPr>
      </w:pPr>
      <w:r>
        <w:rPr>
          <w:rFonts w:hint="eastAsia" w:ascii="ＭＳ 明朝" w:hAnsi="ＭＳ 明朝"/>
          <w:color w:val="auto"/>
          <w:highlight w:val="none"/>
          <w:u w:val="none" w:color="auto"/>
        </w:rPr>
        <w:t>　　（</w:t>
      </w:r>
      <w:r>
        <w:rPr>
          <w:rFonts w:hint="eastAsia" w:ascii="ＭＳ 明朝" w:hAnsi="ＭＳ 明朝"/>
          <w:strike w:val="0"/>
          <w:dstrike w:val="0"/>
          <w:color w:val="auto"/>
          <w:highlight w:val="none"/>
          <w:u w:val="none" w:color="auto"/>
        </w:rPr>
        <w:t>２</w:t>
      </w:r>
      <w:r>
        <w:rPr>
          <w:rFonts w:hint="eastAsia" w:ascii="ＭＳ 明朝" w:hAnsi="ＭＳ 明朝"/>
          <w:color w:val="auto"/>
          <w:highlight w:val="none"/>
          <w:u w:val="none" w:color="auto"/>
        </w:rPr>
        <w:t>）繰越額の見込み　　　　　　　　　　　　　　　千円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highlight w:val="yellow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２　事業の繰越の理由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３　添付書類　　　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247" w:bottom="1418" w:left="1531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efaultTabStop w:val="720"/>
  <w:drawingGridHorizontalSpacing w:val="114"/>
  <w:drawingGridVerticalSpacing w:val="246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