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hanging="220" w:hanging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  <w:u w:val="none" w:color="auto"/>
        </w:rPr>
        <w:t>様式第８号</w:t>
      </w:r>
      <w:r>
        <w:rPr>
          <w:rFonts w:hint="eastAsia" w:ascii="ＭＳ 明朝" w:hAnsi="ＭＳ 明朝"/>
          <w:color w:val="auto"/>
          <w:sz w:val="22"/>
          <w:u w:val="none" w:color="auto"/>
        </w:rPr>
        <w:t>（第</w:t>
      </w:r>
      <w:r>
        <w:rPr>
          <w:rFonts w:hint="default" w:ascii="ＭＳ 明朝" w:hAnsi="ＭＳ 明朝"/>
          <w:color w:val="auto"/>
          <w:sz w:val="22"/>
          <w:u w:val="none" w:color="auto"/>
        </w:rPr>
        <w:t>1</w:t>
      </w:r>
      <w:r>
        <w:rPr>
          <w:rFonts w:hint="eastAsia" w:ascii="ＭＳ 明朝" w:hAnsi="ＭＳ 明朝"/>
          <w:color w:val="auto"/>
          <w:sz w:val="22"/>
          <w:u w:val="none" w:color="auto"/>
        </w:rPr>
        <w:t>1</w:t>
      </w:r>
      <w:r>
        <w:rPr>
          <w:rFonts w:hint="eastAsia" w:ascii="ＭＳ 明朝" w:hAnsi="ＭＳ 明朝"/>
          <w:color w:val="auto"/>
          <w:sz w:val="22"/>
          <w:u w:val="none" w:color="auto"/>
        </w:rPr>
        <w:t>条関係）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年　　月　　日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耐</w:t>
      </w:r>
      <w:r>
        <w:rPr>
          <w:rFonts w:hint="default" w:ascii="ＭＳ 明朝" w:hAnsi="ＭＳ 明朝"/>
          <w:color w:val="auto"/>
        </w:rPr>
        <w:t xml:space="preserve"> </w:t>
      </w:r>
      <w:r>
        <w:rPr>
          <w:rFonts w:hint="eastAsia" w:ascii="ＭＳ 明朝" w:hAnsi="ＭＳ 明朝"/>
          <w:color w:val="auto"/>
        </w:rPr>
        <w:t>震</w:t>
      </w:r>
      <w:r>
        <w:rPr>
          <w:rFonts w:hint="default" w:ascii="ＭＳ 明朝" w:hAnsi="ＭＳ 明朝"/>
          <w:color w:val="auto"/>
        </w:rPr>
        <w:t xml:space="preserve"> </w:t>
      </w:r>
      <w:r>
        <w:rPr>
          <w:rFonts w:hint="eastAsia" w:ascii="ＭＳ 明朝" w:hAnsi="ＭＳ 明朝"/>
          <w:color w:val="auto"/>
        </w:rPr>
        <w:t>診</w:t>
      </w:r>
      <w:r>
        <w:rPr>
          <w:rFonts w:hint="default" w:ascii="ＭＳ 明朝" w:hAnsi="ＭＳ 明朝"/>
          <w:color w:val="auto"/>
        </w:rPr>
        <w:t xml:space="preserve"> </w:t>
      </w:r>
      <w:r>
        <w:rPr>
          <w:rFonts w:hint="eastAsia" w:ascii="ＭＳ 明朝" w:hAnsi="ＭＳ 明朝"/>
          <w:color w:val="auto"/>
        </w:rPr>
        <w:t>断</w:t>
      </w:r>
      <w:r>
        <w:rPr>
          <w:rFonts w:hint="default" w:ascii="ＭＳ 明朝" w:hAnsi="ＭＳ 明朝"/>
          <w:color w:val="auto"/>
        </w:rPr>
        <w:t xml:space="preserve"> </w:t>
      </w:r>
      <w:r>
        <w:rPr>
          <w:rFonts w:hint="eastAsia" w:ascii="ＭＳ 明朝" w:hAnsi="ＭＳ 明朝"/>
          <w:color w:val="auto"/>
        </w:rPr>
        <w:t>報</w:t>
      </w:r>
      <w:r>
        <w:rPr>
          <w:rFonts w:hint="default" w:ascii="ＭＳ 明朝" w:hAnsi="ＭＳ 明朝"/>
          <w:color w:val="auto"/>
        </w:rPr>
        <w:t xml:space="preserve"> </w:t>
      </w:r>
      <w:r>
        <w:rPr>
          <w:rFonts w:hint="eastAsia" w:ascii="ＭＳ 明朝" w:hAnsi="ＭＳ 明朝"/>
          <w:color w:val="auto"/>
        </w:rPr>
        <w:t>告</w:t>
      </w:r>
      <w:r>
        <w:rPr>
          <w:rFonts w:hint="default" w:ascii="ＭＳ 明朝" w:hAnsi="ＭＳ 明朝"/>
          <w:color w:val="auto"/>
        </w:rPr>
        <w:t xml:space="preserve"> </w:t>
      </w:r>
      <w:r>
        <w:rPr>
          <w:rFonts w:hint="eastAsia" w:ascii="ＭＳ 明朝" w:hAnsi="ＭＳ 明朝"/>
          <w:color w:val="auto"/>
        </w:rPr>
        <w:t>書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観音寺市長　　　　　　　　宛て</w:t>
      </w: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耐震診断技術者　</w:t>
      </w:r>
      <w:r>
        <w:rPr>
          <w:rFonts w:hint="eastAsia" w:ascii="ＭＳ 明朝" w:hAnsi="ＭＳ 明朝"/>
          <w:color w:val="auto"/>
          <w:u w:val="single" w:color="auto"/>
        </w:rPr>
        <w:t>氏　　名　　　　　　　　　　　　　　　　　　</w:t>
      </w: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  <w:u w:val="single" w:color="auto"/>
        </w:rPr>
      </w:pPr>
      <w:r>
        <w:rPr>
          <w:rFonts w:hint="eastAsia" w:ascii="ＭＳ 明朝" w:hAnsi="ＭＳ 明朝"/>
          <w:color w:val="auto"/>
          <w:u w:val="single" w:color="auto"/>
        </w:rPr>
        <w:t>住　　所　　　　　　　　　　　　　　　　　　</w:t>
      </w: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  <w:u w:val="single" w:color="auto"/>
        </w:rPr>
      </w:pP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  <w:u w:val="single" w:color="auto"/>
        </w:rPr>
      </w:pPr>
      <w:r>
        <w:rPr>
          <w:rFonts w:hint="eastAsia" w:ascii="ＭＳ 明朝" w:hAnsi="ＭＳ 明朝"/>
          <w:color w:val="auto"/>
          <w:u w:val="single" w:color="auto"/>
        </w:rPr>
        <w:t>資　　格　　（　　　）級建築士　　　　　　　</w:t>
      </w: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  <w:u w:val="single" w:color="auto"/>
        </w:rPr>
      </w:pP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  <w:u w:val="single" w:color="auto"/>
        </w:rPr>
      </w:pPr>
      <w:r>
        <w:rPr>
          <w:rFonts w:hint="eastAsia" w:ascii="ＭＳ 明朝" w:hAnsi="ＭＳ 明朝"/>
          <w:color w:val="auto"/>
          <w:u w:val="single" w:color="auto"/>
        </w:rPr>
        <w:t>登録番号　　　第　　　　　　号　　　　　　　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  <w:u w:val="single" w:color="auto"/>
        </w:rPr>
      </w:pPr>
      <w:r>
        <w:rPr>
          <w:rFonts w:hint="eastAsia" w:ascii="ＭＳ 明朝" w:hAnsi="ＭＳ 明朝"/>
          <w:color w:val="auto"/>
          <w:u w:val="single" w:color="auto"/>
        </w:rPr>
        <w:t>事務所名　　　　　　　　　　　　　　　　　　</w:t>
      </w: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  <w:u w:val="single" w:color="auto"/>
        </w:rPr>
      </w:pPr>
    </w:p>
    <w:p>
      <w:pPr>
        <w:pStyle w:val="0"/>
        <w:wordWrap w:val="0"/>
        <w:ind w:left="324" w:hanging="324" w:hangingChars="100"/>
        <w:jc w:val="right"/>
        <w:rPr>
          <w:rFonts w:hint="default" w:ascii="ＭＳ 明朝" w:hAnsi="ＭＳ 明朝"/>
          <w:color w:val="auto"/>
          <w:u w:val="single" w:color="auto"/>
        </w:rPr>
      </w:pPr>
      <w:r>
        <w:rPr>
          <w:rFonts w:hint="eastAsia" w:ascii="ＭＳ 明朝" w:hAnsi="ＭＳ 明朝"/>
          <w:color w:val="auto"/>
          <w:spacing w:val="52"/>
          <w:kern w:val="0"/>
          <w:u w:val="single" w:color="auto"/>
        </w:rPr>
        <w:t>連絡</w:t>
      </w:r>
      <w:r>
        <w:rPr>
          <w:rFonts w:hint="eastAsia" w:ascii="ＭＳ 明朝" w:hAnsi="ＭＳ 明朝"/>
          <w:color w:val="auto"/>
          <w:spacing w:val="1"/>
          <w:kern w:val="0"/>
          <w:u w:val="single" w:color="auto"/>
        </w:rPr>
        <w:t>先</w:t>
      </w:r>
      <w:r>
        <w:rPr>
          <w:rFonts w:hint="eastAsia" w:ascii="ＭＳ 明朝" w:hAnsi="ＭＳ 明朝"/>
          <w:color w:val="auto"/>
          <w:u w:val="single" w:color="auto"/>
        </w:rPr>
        <w:t>　　　　　　　　　　　　　　　　　　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年　　月　　日に実施した下記住宅の耐震診断の結果について、関係図書を添えて報告します。この関係図書の記載事項については、現地と照合しており、事実に相違ありません。</w:t>
      </w:r>
    </w:p>
    <w:p>
      <w:pPr>
        <w:pStyle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</w:rPr>
      </w:pPr>
    </w:p>
    <w:tbl>
      <w:tblPr>
        <w:tblStyle w:val="11"/>
        <w:tblW w:w="8664" w:type="dxa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24"/>
        <w:gridCol w:w="6840"/>
      </w:tblGrid>
      <w:tr>
        <w:trPr>
          <w:trHeight w:val="597" w:hRule="atLeast"/>
        </w:trPr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住宅の用途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専用住宅　　　　　　　　　□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併用住宅</w:t>
            </w:r>
          </w:p>
        </w:tc>
      </w:tr>
      <w:tr>
        <w:trPr>
          <w:trHeight w:val="618" w:hRule="atLeast"/>
        </w:trPr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住宅の建て方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一戸建て住宅　　　　　　　□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長</w:t>
            </w:r>
            <w:r>
              <w:rPr>
                <w:rFonts w:hint="default" w:ascii="ＭＳ 明朝" w:hAnsi="ＭＳ 明朝"/>
                <w:color w:val="auto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</w:rPr>
              <w:t>屋</w:t>
            </w:r>
          </w:p>
        </w:tc>
      </w:tr>
      <w:tr>
        <w:trPr>
          <w:trHeight w:val="639" w:hRule="atLeast"/>
        </w:trPr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建物所在地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470" w:hRule="atLeast"/>
        </w:trPr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35"/>
                <w:kern w:val="0"/>
              </w:rPr>
              <w:t>診断結</w:t>
            </w:r>
            <w:r>
              <w:rPr>
                <w:rFonts w:hint="eastAsia" w:ascii="ＭＳ 明朝" w:hAnsi="ＭＳ 明朝"/>
                <w:color w:val="auto"/>
                <w:kern w:val="0"/>
              </w:rPr>
              <w:t>果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※建築基準法に基づく主な規定（都市計画区域外の地域は、第</w:t>
      </w:r>
      <w:r>
        <w:rPr>
          <w:rFonts w:hint="default" w:ascii="ＭＳ 明朝" w:hAnsi="ＭＳ 明朝"/>
          <w:color w:val="auto"/>
        </w:rPr>
        <w:t>20</w:t>
      </w:r>
      <w:r>
        <w:rPr>
          <w:rFonts w:hint="eastAsia" w:ascii="ＭＳ 明朝" w:hAnsi="ＭＳ 明朝"/>
          <w:color w:val="auto"/>
        </w:rPr>
        <w:t>条の規定のみ確認すること。）</w:t>
      </w:r>
    </w:p>
    <w:tbl>
      <w:tblPr>
        <w:tblStyle w:val="11"/>
        <w:tblW w:w="8664" w:type="dxa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420"/>
        <w:gridCol w:w="5244"/>
      </w:tblGrid>
      <w:tr>
        <w:trPr>
          <w:trHeight w:val="318" w:hRule="atLeast"/>
        </w:trPr>
        <w:tc>
          <w:tcPr>
            <w:tcW w:w="342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第</w:t>
            </w:r>
            <w:r>
              <w:rPr>
                <w:rFonts w:hint="default" w:ascii="ＭＳ 明朝" w:hAnsi="ＭＳ 明朝"/>
                <w:color w:val="auto"/>
              </w:rPr>
              <w:t>20</w:t>
            </w:r>
            <w:r>
              <w:rPr>
                <w:rFonts w:hint="eastAsia" w:ascii="ＭＳ 明朝" w:hAnsi="ＭＳ 明朝"/>
                <w:color w:val="auto"/>
              </w:rPr>
              <w:t>条　構造耐力</w:t>
            </w:r>
          </w:p>
        </w:tc>
        <w:tc>
          <w:tcPr>
            <w:tcW w:w="524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　既存不適格建築物である</w:t>
            </w:r>
          </w:p>
        </w:tc>
      </w:tr>
      <w:tr>
        <w:trPr>
          <w:trHeight w:val="318" w:hRule="atLeast"/>
        </w:trPr>
        <w:tc>
          <w:tcPr>
            <w:tcW w:w="342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第</w:t>
            </w:r>
            <w:r>
              <w:rPr>
                <w:rFonts w:hint="default" w:ascii="ＭＳ 明朝" w:hAnsi="ＭＳ 明朝"/>
                <w:color w:val="auto"/>
              </w:rPr>
              <w:t>43</w:t>
            </w:r>
            <w:r>
              <w:rPr>
                <w:rFonts w:hint="eastAsia" w:ascii="ＭＳ 明朝" w:hAnsi="ＭＳ 明朝"/>
                <w:color w:val="auto"/>
              </w:rPr>
              <w:t>条　敷地等と道路との関係</w:t>
            </w:r>
          </w:p>
        </w:tc>
        <w:tc>
          <w:tcPr>
            <w:tcW w:w="524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　適合している　□　既存不適格建築物である</w:t>
            </w:r>
          </w:p>
        </w:tc>
      </w:tr>
      <w:tr>
        <w:trPr>
          <w:trHeight w:val="318" w:hRule="atLeast"/>
        </w:trPr>
        <w:tc>
          <w:tcPr>
            <w:tcW w:w="342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第</w:t>
            </w:r>
            <w:r>
              <w:rPr>
                <w:rFonts w:hint="default" w:ascii="ＭＳ 明朝" w:hAnsi="ＭＳ 明朝"/>
                <w:color w:val="auto"/>
              </w:rPr>
              <w:t>44</w:t>
            </w:r>
            <w:r>
              <w:rPr>
                <w:rFonts w:hint="eastAsia" w:ascii="ＭＳ 明朝" w:hAnsi="ＭＳ 明朝"/>
                <w:color w:val="auto"/>
              </w:rPr>
              <w:t>条　道路内の建築制限</w:t>
            </w:r>
          </w:p>
        </w:tc>
        <w:tc>
          <w:tcPr>
            <w:tcW w:w="524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　適合している　□　既存不適格建築物である</w:t>
            </w:r>
          </w:p>
        </w:tc>
      </w:tr>
      <w:tr>
        <w:trPr>
          <w:trHeight w:val="318" w:hRule="atLeast"/>
        </w:trPr>
        <w:tc>
          <w:tcPr>
            <w:tcW w:w="342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第</w:t>
            </w:r>
            <w:r>
              <w:rPr>
                <w:rFonts w:hint="default" w:ascii="ＭＳ 明朝" w:hAnsi="ＭＳ 明朝"/>
                <w:color w:val="auto"/>
              </w:rPr>
              <w:t>52</w:t>
            </w:r>
            <w:r>
              <w:rPr>
                <w:rFonts w:hint="eastAsia" w:ascii="ＭＳ 明朝" w:hAnsi="ＭＳ 明朝"/>
                <w:color w:val="auto"/>
              </w:rPr>
              <w:t>条　容積率</w:t>
            </w:r>
          </w:p>
        </w:tc>
        <w:tc>
          <w:tcPr>
            <w:tcW w:w="524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　適合している　□　既存不適格建築物である</w:t>
            </w:r>
          </w:p>
        </w:tc>
      </w:tr>
      <w:tr>
        <w:trPr>
          <w:trHeight w:val="318" w:hRule="atLeast"/>
        </w:trPr>
        <w:tc>
          <w:tcPr>
            <w:tcW w:w="342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第</w:t>
            </w:r>
            <w:r>
              <w:rPr>
                <w:rFonts w:hint="default" w:ascii="ＭＳ 明朝" w:hAnsi="ＭＳ 明朝"/>
                <w:color w:val="auto"/>
              </w:rPr>
              <w:t>53</w:t>
            </w:r>
            <w:r>
              <w:rPr>
                <w:rFonts w:hint="eastAsia" w:ascii="ＭＳ 明朝" w:hAnsi="ＭＳ 明朝"/>
                <w:color w:val="auto"/>
              </w:rPr>
              <w:t>条　建ぺい率</w:t>
            </w:r>
          </w:p>
        </w:tc>
        <w:tc>
          <w:tcPr>
            <w:tcW w:w="524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　適合している　□　既存不適格建築物である</w:t>
            </w:r>
          </w:p>
        </w:tc>
      </w:tr>
      <w:tr>
        <w:trPr>
          <w:trHeight w:val="318" w:hRule="atLeast"/>
        </w:trPr>
        <w:tc>
          <w:tcPr>
            <w:tcW w:w="342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第</w:t>
            </w:r>
            <w:r>
              <w:rPr>
                <w:rFonts w:hint="default" w:ascii="ＭＳ 明朝" w:hAnsi="ＭＳ 明朝"/>
                <w:color w:val="auto"/>
              </w:rPr>
              <w:t>55</w:t>
            </w:r>
            <w:r>
              <w:rPr>
                <w:rFonts w:hint="eastAsia" w:ascii="ＭＳ 明朝" w:hAnsi="ＭＳ 明朝"/>
                <w:color w:val="auto"/>
              </w:rPr>
              <w:t>条　建築物の高さ</w:t>
            </w:r>
          </w:p>
        </w:tc>
        <w:tc>
          <w:tcPr>
            <w:tcW w:w="524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　適合している　□　既存不適格建築物である</w:t>
            </w:r>
          </w:p>
        </w:tc>
      </w:tr>
      <w:tr>
        <w:trPr>
          <w:trHeight w:val="318" w:hRule="atLeast"/>
        </w:trPr>
        <w:tc>
          <w:tcPr>
            <w:tcW w:w="342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第</w:t>
            </w:r>
            <w:r>
              <w:rPr>
                <w:rFonts w:hint="default" w:ascii="ＭＳ 明朝" w:hAnsi="ＭＳ 明朝"/>
                <w:color w:val="auto"/>
              </w:rPr>
              <w:t>56</w:t>
            </w:r>
            <w:r>
              <w:rPr>
                <w:rFonts w:hint="eastAsia" w:ascii="ＭＳ 明朝" w:hAnsi="ＭＳ 明朝"/>
                <w:color w:val="auto"/>
              </w:rPr>
              <w:t>条　建築物の各部分の高さ</w:t>
            </w:r>
          </w:p>
        </w:tc>
        <w:tc>
          <w:tcPr>
            <w:tcW w:w="5244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　適合している　□　既存不適格建築物である</w:t>
            </w: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</w:rPr>
      </w:pPr>
      <w:bookmarkStart w:id="0" w:name="_GoBack"/>
      <w:bookmarkEnd w:id="0"/>
    </w:p>
    <w:sectPr>
      <w:pgSz w:w="11906" w:h="16838"/>
      <w:pgMar w:top="1418" w:right="1247" w:bottom="1418" w:left="1531" w:header="851" w:footer="992" w:gutter="0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rawingGridHorizontalSpacing w:val="114"/>
  <w:drawingGridVerticalSpacing w:val="246"/>
  <w:displayHorizontalDrawingGridEvery w:val="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Closing"/>
    <w:basedOn w:val="0"/>
    <w:next w:val="23"/>
    <w:link w:val="2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4" w:customStyle="1">
    <w:name w:val="結語 (文字)"/>
    <w:basedOn w:val="10"/>
    <w:next w:val="24"/>
    <w:link w:val="23"/>
    <w:uiPriority w:val="0"/>
    <w:rPr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