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</w:t>
      </w:r>
      <w:r>
        <w:rPr>
          <w:rFonts w:hint="eastAsia" w:ascii="BIZ UD明朝 Medium" w:hAnsi="BIZ UD明朝 Medium" w:eastAsia="BIZ UD明朝 Medium"/>
        </w:rPr>
        <w:t>11</w:t>
      </w:r>
    </w:p>
    <w:tbl>
      <w:tblPr>
        <w:tblStyle w:val="11"/>
        <w:tblW w:w="8505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447" w:hRule="exact"/>
        </w:trPr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240" w:firstLineChars="10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実施方針</w:t>
            </w:r>
          </w:p>
        </w:tc>
      </w:tr>
      <w:tr>
        <w:trPr>
          <w:trHeight w:val="12930" w:hRule="atLeast"/>
        </w:trPr>
        <w:tc>
          <w:tcPr>
            <w:tcW w:w="8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○実施方針について、実施要項等を踏まえ、具体的に記載すること。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840" w:leftChars="200" w:hanging="420" w:hangingChars="20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※１　審査基準に示した以下の項目について、審査の視点における記載内容も参考に、応募者としての提案を記載すること。</w:t>
            </w:r>
          </w:p>
          <w:p>
            <w:pPr>
              <w:pStyle w:val="0"/>
              <w:ind w:left="840" w:leftChars="300" w:hanging="210" w:hangingChars="10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①　組織体制</w:t>
            </w:r>
          </w:p>
          <w:p>
            <w:pPr>
              <w:pStyle w:val="0"/>
              <w:ind w:left="840" w:leftChars="300" w:hanging="210" w:hangingChars="10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②　円滑な業務実施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</w:p>
          <w:p>
            <w:pPr>
              <w:pStyle w:val="0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※２　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>提案者を特定又は判別できるような記載等を一切行わないこと。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</w:p>
          <w:p>
            <w:pPr>
              <w:pStyle w:val="0"/>
              <w:ind w:left="0" w:leftChars="0" w:firstLine="420" w:firstLineChars="20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※３　枠内の注意書等については、削除すること。</w:t>
            </w:r>
          </w:p>
        </w:tc>
      </w:tr>
    </w:tbl>
    <w:p>
      <w:pPr>
        <w:pStyle w:val="0"/>
        <w:ind w:left="0" w:leftChars="0" w:hanging="630" w:hangingChars="30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1</Words>
  <Characters>160</Characters>
  <Application>JUST Note</Application>
  <Lines>12</Lines>
  <Paragraphs>8</Paragraphs>
  <CharactersWithSpaces>165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2025-06-23T06:28:31Z</dcterms:modified>
  <cp:revision>153</cp:revision>
</cp:coreProperties>
</file>